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9A" w:rsidRDefault="001C499A" w:rsidP="001C499A">
      <w:pPr>
        <w:jc w:val="center"/>
        <w:rPr>
          <w:rFonts w:ascii="Century Gothic" w:hAnsi="Century Gothic"/>
          <w:b/>
          <w:color w:val="000000" w:themeColor="text1"/>
          <w:sz w:val="28"/>
        </w:rPr>
      </w:pPr>
      <w:r w:rsidRPr="00A6213D">
        <w:rPr>
          <w:rFonts w:ascii="Century Gothic" w:hAnsi="Century Gothic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16009404" wp14:editId="2F3B17D3">
            <wp:simplePos x="0" y="0"/>
            <wp:positionH relativeFrom="column">
              <wp:posOffset>9467850</wp:posOffset>
            </wp:positionH>
            <wp:positionV relativeFrom="paragraph">
              <wp:posOffset>-219075</wp:posOffset>
            </wp:positionV>
            <wp:extent cx="476250" cy="4711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" t="19926" r="63665" b="17177"/>
                    <a:stretch/>
                  </pic:blipFill>
                  <pic:spPr bwMode="auto">
                    <a:xfrm>
                      <a:off x="0" y="0"/>
                      <a:ext cx="476250" cy="47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13D">
        <w:rPr>
          <w:rFonts w:ascii="Century Gothic" w:hAnsi="Century Gothic"/>
          <w:b/>
          <w:color w:val="000000" w:themeColor="text1"/>
          <w:sz w:val="28"/>
        </w:rPr>
        <w:t>The Nottingham Emmanuel School –</w:t>
      </w:r>
      <w:r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5520F6" w:rsidRPr="005520F6">
        <w:rPr>
          <w:rFonts w:ascii="Century Gothic" w:hAnsi="Century Gothic"/>
          <w:b/>
          <w:color w:val="000000" w:themeColor="text1"/>
          <w:sz w:val="28"/>
        </w:rPr>
        <w:t>Law</w:t>
      </w:r>
      <w:r w:rsidR="00913BB0">
        <w:rPr>
          <w:rFonts w:ascii="Century Gothic" w:hAnsi="Century Gothic"/>
          <w:b/>
          <w:i/>
          <w:color w:val="000000" w:themeColor="text1"/>
          <w:sz w:val="28"/>
        </w:rPr>
        <w:t xml:space="preserve"> </w:t>
      </w:r>
      <w:r w:rsidRPr="00A6213D">
        <w:rPr>
          <w:rFonts w:ascii="Century Gothic" w:hAnsi="Century Gothic"/>
          <w:b/>
          <w:color w:val="000000" w:themeColor="text1"/>
          <w:sz w:val="28"/>
        </w:rPr>
        <w:t>Curriculum Map (</w:t>
      </w:r>
      <w:r>
        <w:rPr>
          <w:rFonts w:ascii="Century Gothic" w:hAnsi="Century Gothic"/>
          <w:b/>
          <w:color w:val="000000" w:themeColor="text1"/>
          <w:sz w:val="28"/>
        </w:rPr>
        <w:t>2022</w:t>
      </w:r>
      <w:r w:rsidRPr="00A6213D">
        <w:rPr>
          <w:rFonts w:ascii="Century Gothic" w:hAnsi="Century Gothic"/>
          <w:b/>
          <w:color w:val="000000" w:themeColor="text1"/>
          <w:sz w:val="28"/>
        </w:rPr>
        <w:t>-202</w:t>
      </w:r>
      <w:r>
        <w:rPr>
          <w:rFonts w:ascii="Century Gothic" w:hAnsi="Century Gothic"/>
          <w:b/>
          <w:color w:val="000000" w:themeColor="text1"/>
          <w:sz w:val="28"/>
        </w:rPr>
        <w:t>3</w:t>
      </w:r>
      <w:r w:rsidRPr="00A6213D">
        <w:rPr>
          <w:rFonts w:ascii="Century Gothic" w:hAnsi="Century Gothic"/>
          <w:b/>
          <w:color w:val="000000" w:themeColor="text1"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016"/>
        <w:gridCol w:w="2089"/>
        <w:gridCol w:w="2266"/>
        <w:gridCol w:w="2262"/>
        <w:gridCol w:w="2693"/>
        <w:gridCol w:w="2268"/>
        <w:gridCol w:w="2352"/>
      </w:tblGrid>
      <w:tr w:rsidR="004201C0" w:rsidRPr="008F6BD9" w:rsidTr="00F404D5">
        <w:tc>
          <w:tcPr>
            <w:tcW w:w="1458" w:type="dxa"/>
            <w:gridSpan w:val="2"/>
          </w:tcPr>
          <w:p w:rsidR="001C73FC" w:rsidRPr="008F6BD9" w:rsidRDefault="001C73FC" w:rsidP="001C73F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F6BD9">
              <w:rPr>
                <w:rFonts w:cstheme="minorHAnsi"/>
                <w:color w:val="000000" w:themeColor="text1"/>
                <w:sz w:val="18"/>
                <w:szCs w:val="18"/>
              </w:rPr>
              <w:t>Intent statement</w:t>
            </w:r>
          </w:p>
        </w:tc>
        <w:tc>
          <w:tcPr>
            <w:tcW w:w="13930" w:type="dxa"/>
            <w:gridSpan w:val="6"/>
          </w:tcPr>
          <w:p w:rsidR="0097563C" w:rsidRPr="0097563C" w:rsidRDefault="003E5D3F" w:rsidP="00236EC1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563C">
              <w:rPr>
                <w:rFonts w:ascii="Calibri" w:eastAsia="Times New Roman" w:hAnsi="Calibri" w:cs="Calibri"/>
                <w:b/>
                <w:sz w:val="24"/>
                <w:szCs w:val="24"/>
              </w:rPr>
              <w:t>Wisdom</w:t>
            </w:r>
            <w:r w:rsidR="00C2408D">
              <w:rPr>
                <w:rFonts w:ascii="Calibri" w:eastAsia="Times New Roman" w:hAnsi="Calibri" w:cs="Calibri"/>
                <w:sz w:val="24"/>
                <w:szCs w:val="24"/>
              </w:rPr>
              <w:t xml:space="preserve">: The </w:t>
            </w:r>
            <w:r w:rsidR="005520F6">
              <w:rPr>
                <w:rFonts w:ascii="Calibri" w:eastAsia="Times New Roman" w:hAnsi="Calibri" w:cs="Calibri"/>
                <w:sz w:val="24"/>
                <w:szCs w:val="24"/>
              </w:rPr>
              <w:t>Law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curriculum </w:t>
            </w:r>
            <w:r w:rsidR="005520F6">
              <w:rPr>
                <w:rFonts w:ascii="Calibri" w:eastAsia="Times New Roman" w:hAnsi="Calibri" w:cs="Calibri"/>
                <w:sz w:val="24"/>
                <w:szCs w:val="24"/>
              </w:rPr>
              <w:t>empowers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students to develop </w:t>
            </w:r>
            <w:r w:rsidR="005520F6">
              <w:rPr>
                <w:rFonts w:ascii="Calibri" w:eastAsia="Times New Roman" w:hAnsi="Calibri" w:cs="Calibri"/>
                <w:sz w:val="24"/>
                <w:szCs w:val="24"/>
              </w:rPr>
              <w:t xml:space="preserve">their 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understanding of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 xml:space="preserve">societal, 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business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and government behaviours upon the rules they live by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. It aims to encourage students to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evaluate and appreciate the skills and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knowledge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required to debate and challenge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the substantive law of their country. Students will develop in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confidence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using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a variet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y of practical, mathematical,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creative and problem solving skills. </w:t>
            </w:r>
          </w:p>
          <w:p w:rsidR="00236EC1" w:rsidRDefault="003E5D3F" w:rsidP="00236EC1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563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Hope: </w:t>
            </w:r>
            <w:r w:rsidR="00236EC1" w:rsidRPr="00236EC1">
              <w:rPr>
                <w:rFonts w:ascii="Calibri" w:eastAsia="Times New Roman" w:hAnsi="Calibri" w:cs="Calibri"/>
                <w:sz w:val="24"/>
                <w:szCs w:val="24"/>
              </w:rPr>
              <w:t>We aim to inspire</w:t>
            </w:r>
            <w:r w:rsidR="00236EC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>Students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’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interest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in and enthusiasm for the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ir subject, including developing independent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f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 xml:space="preserve">urther study 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>and careers associated with the subject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. We want to stretch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their aspirations and future contributions to the workplace, in its’ many forms.</w:t>
            </w:r>
          </w:p>
          <w:p w:rsidR="0097563C" w:rsidRPr="0097563C" w:rsidRDefault="003E5D3F" w:rsidP="00236EC1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563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Dignity: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 xml:space="preserve">dignified 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>curriculum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designed to promote independence in </w:t>
            </w:r>
            <w:r w:rsidR="00A264C5" w:rsidRPr="0097563C">
              <w:rPr>
                <w:rFonts w:ascii="Calibri" w:eastAsia="Times New Roman" w:hAnsi="Calibri" w:cs="Calibri"/>
                <w:sz w:val="24"/>
                <w:szCs w:val="24"/>
              </w:rPr>
              <w:t>every learner, enabling him or her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to reach their full potential, whilst preparing them for their future higher education and careers choices. Student independence is achieved through flipped and interleaved learning, formative and summative assessments and self-extended learning and the ability to study case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-law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 and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>legal theory.</w:t>
            </w:r>
          </w:p>
          <w:p w:rsidR="001C73FC" w:rsidRPr="00236EC1" w:rsidRDefault="003E5D3F" w:rsidP="00A264C5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7563C">
              <w:rPr>
                <w:rFonts w:ascii="Calibri" w:eastAsia="Times New Roman" w:hAnsi="Calibri" w:cs="Calibri"/>
                <w:b/>
                <w:sz w:val="24"/>
                <w:szCs w:val="24"/>
              </w:rPr>
              <w:t>Community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 xml:space="preserve">Students are encouraged to develop 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>collaborative learning th</w:t>
            </w:r>
            <w:r w:rsidR="00236EC1">
              <w:rPr>
                <w:rFonts w:ascii="Calibri" w:eastAsia="Times New Roman" w:hAnsi="Calibri" w:cs="Calibri"/>
                <w:sz w:val="24"/>
                <w:szCs w:val="24"/>
              </w:rPr>
              <w:t xml:space="preserve">rough group work and team study. A supportive classroom environment, with strong links to the sixth community 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 xml:space="preserve">to create a culture of learning within the </w:t>
            </w:r>
            <w:r w:rsidR="00A264C5">
              <w:rPr>
                <w:rFonts w:ascii="Calibri" w:eastAsia="Times New Roman" w:hAnsi="Calibri" w:cs="Calibri"/>
                <w:sz w:val="24"/>
                <w:szCs w:val="24"/>
              </w:rPr>
              <w:t xml:space="preserve">Law </w:t>
            </w:r>
            <w:r w:rsidRPr="0097563C">
              <w:rPr>
                <w:rFonts w:ascii="Calibri" w:eastAsia="Times New Roman" w:hAnsi="Calibri" w:cs="Calibri"/>
                <w:sz w:val="24"/>
                <w:szCs w:val="24"/>
              </w:rPr>
              <w:t>curriculum.</w:t>
            </w:r>
          </w:p>
        </w:tc>
      </w:tr>
      <w:tr w:rsidR="004201C0" w:rsidRPr="008F6BD9" w:rsidTr="00F404D5">
        <w:tc>
          <w:tcPr>
            <w:tcW w:w="1458" w:type="dxa"/>
            <w:gridSpan w:val="2"/>
          </w:tcPr>
          <w:p w:rsidR="001C73FC" w:rsidRPr="0097563C" w:rsidRDefault="001C73FC" w:rsidP="001C73F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7563C">
              <w:rPr>
                <w:rFonts w:cstheme="minorHAnsi"/>
                <w:color w:val="000000" w:themeColor="text1"/>
                <w:sz w:val="18"/>
                <w:szCs w:val="18"/>
              </w:rPr>
              <w:t>Diversity across the curriculum</w:t>
            </w:r>
          </w:p>
        </w:tc>
        <w:tc>
          <w:tcPr>
            <w:tcW w:w="13930" w:type="dxa"/>
            <w:gridSpan w:val="6"/>
          </w:tcPr>
          <w:p w:rsidR="00640649" w:rsidRPr="0097563C" w:rsidRDefault="00640649" w:rsidP="002A6CE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7563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Our curriculum represents the diversity of our </w:t>
            </w:r>
            <w:r w:rsidR="00A264C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City and its’ </w:t>
            </w:r>
            <w:r w:rsidRPr="0097563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students by</w:t>
            </w:r>
            <w:r w:rsidR="00C9782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learning about </w:t>
            </w:r>
            <w:r w:rsidR="00A264C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those involved in the Law: </w:t>
            </w:r>
            <w:r w:rsidR="0097563C" w:rsidRPr="0097563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repres</w:t>
            </w:r>
            <w:r w:rsidR="00A264C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ent</w:t>
            </w:r>
            <w:r w:rsidR="002A6C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ing a diverse range of cultures and</w:t>
            </w:r>
            <w:r w:rsidR="00A264C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97563C" w:rsidRPr="0097563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socio-economic backgrounds</w:t>
            </w:r>
            <w:r w:rsidR="002A6C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="0097563C" w:rsidRPr="0097563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to </w:t>
            </w:r>
            <w:r w:rsidR="002A6C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allow them to aspire to achieve. B</w:t>
            </w:r>
            <w:r w:rsidR="0097563C" w:rsidRPr="0097563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 having positive role models</w:t>
            </w:r>
            <w:r w:rsidR="002A6CE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students’ will be well </w:t>
            </w:r>
            <w:r w:rsidR="0097563C" w:rsidRPr="0097563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equipping with the relevant skills and knowledge to be successful.</w:t>
            </w:r>
            <w:r w:rsidR="00A264C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04D5" w:rsidRPr="008F6BD9" w:rsidTr="00F404D5">
        <w:tc>
          <w:tcPr>
            <w:tcW w:w="4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AUT 1</w:t>
            </w:r>
          </w:p>
        </w:tc>
        <w:tc>
          <w:tcPr>
            <w:tcW w:w="226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AUT 2</w:t>
            </w:r>
          </w:p>
        </w:tc>
        <w:tc>
          <w:tcPr>
            <w:tcW w:w="226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SPR 1</w:t>
            </w: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SPR 2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SUM 1</w:t>
            </w:r>
          </w:p>
        </w:tc>
        <w:tc>
          <w:tcPr>
            <w:tcW w:w="235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C499A" w:rsidRPr="008F6BD9" w:rsidRDefault="001C499A">
            <w:pPr>
              <w:rPr>
                <w:sz w:val="18"/>
                <w:szCs w:val="18"/>
              </w:rPr>
            </w:pPr>
            <w:r w:rsidRPr="008F6BD9">
              <w:rPr>
                <w:sz w:val="18"/>
                <w:szCs w:val="18"/>
              </w:rPr>
              <w:t>SUM 2</w:t>
            </w:r>
          </w:p>
        </w:tc>
      </w:tr>
      <w:tr w:rsidR="00F404D5" w:rsidRPr="00AA72EE" w:rsidTr="00F404D5">
        <w:tc>
          <w:tcPr>
            <w:tcW w:w="44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  <w:textDirection w:val="btLr"/>
            <w:vAlign w:val="center"/>
          </w:tcPr>
          <w:p w:rsidR="00A6692D" w:rsidRPr="00AA72EE" w:rsidRDefault="00A6692D" w:rsidP="00A6692D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AA72EE">
              <w:rPr>
                <w:rFonts w:cstheme="minorHAnsi"/>
                <w:sz w:val="18"/>
                <w:szCs w:val="18"/>
              </w:rPr>
              <w:t>Year 12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  <w:r w:rsidRPr="00AA72EE">
              <w:rPr>
                <w:rFonts w:cstheme="minorHAnsi"/>
                <w:sz w:val="18"/>
                <w:szCs w:val="18"/>
              </w:rPr>
              <w:t>Title and objectives</w:t>
            </w:r>
          </w:p>
        </w:tc>
        <w:tc>
          <w:tcPr>
            <w:tcW w:w="208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711D97" w:rsidRPr="00121B7C" w:rsidRDefault="00121B7C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711D97" w:rsidRPr="00121B7C" w:rsidRDefault="00711D97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A6692D" w:rsidRPr="00121B7C" w:rsidRDefault="00A6692D" w:rsidP="00D754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18" w:space="0" w:color="000000" w:themeColor="text1"/>
            </w:tcBorders>
          </w:tcPr>
          <w:p w:rsidR="00097192" w:rsidRDefault="00097192" w:rsidP="00097192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Tort Law</w:t>
            </w:r>
          </w:p>
          <w:p w:rsidR="00097192" w:rsidRDefault="004201C0" w:rsidP="00097192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Paper 2</w:t>
            </w:r>
          </w:p>
          <w:p w:rsidR="00711D97" w:rsidRPr="00121B7C" w:rsidRDefault="00121B7C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Criminal Law</w:t>
            </w:r>
          </w:p>
          <w:p w:rsidR="00121B7C" w:rsidRPr="00121B7C" w:rsidRDefault="00121B7C" w:rsidP="006B6BA2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 xml:space="preserve">Part 1 </w:t>
            </w:r>
          </w:p>
        </w:tc>
        <w:tc>
          <w:tcPr>
            <w:tcW w:w="2262" w:type="dxa"/>
            <w:tcBorders>
              <w:top w:val="single" w:sz="18" w:space="0" w:color="000000" w:themeColor="text1"/>
            </w:tcBorders>
          </w:tcPr>
          <w:p w:rsidR="00121B7C" w:rsidRDefault="00121B7C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Tort Law</w:t>
            </w:r>
          </w:p>
          <w:p w:rsidR="00121B7C" w:rsidRDefault="00121B7C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Part 2</w:t>
            </w:r>
          </w:p>
          <w:p w:rsidR="00A6692D" w:rsidRPr="00121B7C" w:rsidRDefault="00A6692D" w:rsidP="006D2A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711D97" w:rsidRDefault="006D2AEE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Criminal Law</w:t>
            </w:r>
          </w:p>
          <w:p w:rsidR="006D2AEE" w:rsidRDefault="006D2AEE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Part 2</w:t>
            </w:r>
          </w:p>
          <w:p w:rsidR="00CB624B" w:rsidRDefault="00CB624B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6D2AEE" w:rsidRPr="00121B7C" w:rsidRDefault="006D2AEE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Practice Questions </w:t>
            </w:r>
          </w:p>
          <w:p w:rsidR="00A6692D" w:rsidRPr="00121B7C" w:rsidRDefault="00A6692D" w:rsidP="00D754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711D97" w:rsidRDefault="006D2AEE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Contract Law</w:t>
            </w:r>
          </w:p>
          <w:p w:rsidR="006D2AEE" w:rsidRPr="00121B7C" w:rsidRDefault="006D2AEE" w:rsidP="00D7540D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Part 1</w:t>
            </w:r>
          </w:p>
          <w:p w:rsidR="00A6692D" w:rsidRPr="00121B7C" w:rsidRDefault="00A6692D" w:rsidP="00D754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A6692D" w:rsidRDefault="006D2AEE" w:rsidP="00CD6CBF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Tort Law</w:t>
            </w:r>
          </w:p>
          <w:p w:rsidR="006D2AEE" w:rsidRDefault="006D2AEE" w:rsidP="00CD6CBF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Part 2</w:t>
            </w:r>
          </w:p>
          <w:p w:rsidR="006D2AEE" w:rsidRDefault="006D2AEE" w:rsidP="00CD6CBF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Contract Law</w:t>
            </w:r>
          </w:p>
          <w:p w:rsidR="006D2AEE" w:rsidRPr="00121B7C" w:rsidRDefault="006D2AEE" w:rsidP="00CD6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Part 2</w:t>
            </w:r>
          </w:p>
        </w:tc>
      </w:tr>
      <w:tr w:rsidR="00F404D5" w:rsidRPr="00AA72EE" w:rsidTr="00F404D5">
        <w:tc>
          <w:tcPr>
            <w:tcW w:w="44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  <w:r w:rsidRPr="00AA72EE">
              <w:rPr>
                <w:rFonts w:cstheme="minorHAnsi"/>
                <w:sz w:val="18"/>
                <w:szCs w:val="18"/>
              </w:rPr>
              <w:t>Core knowledge</w:t>
            </w:r>
          </w:p>
        </w:tc>
        <w:tc>
          <w:tcPr>
            <w:tcW w:w="2089" w:type="dxa"/>
            <w:tcBorders>
              <w:left w:val="single" w:sz="18" w:space="0" w:color="000000" w:themeColor="text1"/>
            </w:tcBorders>
          </w:tcPr>
          <w:p w:rsidR="006D2AEE" w:rsidRPr="004201C0" w:rsidRDefault="006D2AEE" w:rsidP="006D2AE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Nature of Law:</w:t>
            </w:r>
          </w:p>
          <w:p w:rsidR="006D2AEE" w:rsidRPr="004201C0" w:rsidRDefault="006D2AEE" w:rsidP="006D2AEE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1.1.1 Law and Society</w:t>
            </w:r>
          </w:p>
          <w:p w:rsidR="006D2AEE" w:rsidRPr="004201C0" w:rsidRDefault="006D2AEE" w:rsidP="006D2AEE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1.1.2 Law and Morlaity</w:t>
            </w:r>
          </w:p>
          <w:p w:rsidR="006D2AEE" w:rsidRPr="004201C0" w:rsidRDefault="006D2AEE" w:rsidP="006D2AEE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 xml:space="preserve">1.1.3 Law and Justice </w:t>
            </w:r>
          </w:p>
          <w:p w:rsidR="006D2AEE" w:rsidRPr="004201C0" w:rsidRDefault="006D2AEE" w:rsidP="006D2AEE">
            <w:pPr>
              <w:rPr>
                <w:noProof/>
                <w:sz w:val="20"/>
                <w:szCs w:val="20"/>
                <w:lang w:eastAsia="en-GB"/>
              </w:rPr>
            </w:pPr>
          </w:p>
          <w:p w:rsidR="006D2AEE" w:rsidRPr="004201C0" w:rsidRDefault="006D2AEE" w:rsidP="006D2AE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The Rule of Law:</w:t>
            </w:r>
          </w:p>
          <w:p w:rsidR="006D2AEE" w:rsidRPr="004201C0" w:rsidRDefault="006D2AEE" w:rsidP="006D2AEE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Law and Morality</w:t>
            </w:r>
          </w:p>
          <w:p w:rsidR="006D2AEE" w:rsidRPr="004201C0" w:rsidRDefault="006D2AEE" w:rsidP="006D2AEE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Assessment Question</w:t>
            </w:r>
          </w:p>
          <w:p w:rsidR="006D2AEE" w:rsidRPr="004201C0" w:rsidRDefault="006D2AEE" w:rsidP="006D2AEE">
            <w:pPr>
              <w:rPr>
                <w:noProof/>
                <w:sz w:val="20"/>
                <w:szCs w:val="20"/>
                <w:lang w:eastAsia="en-GB"/>
              </w:rPr>
            </w:pPr>
          </w:p>
          <w:p w:rsidR="006D2AEE" w:rsidRPr="004201C0" w:rsidRDefault="006D2AEE" w:rsidP="006D2AEE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Law Making:</w:t>
            </w:r>
          </w:p>
          <w:p w:rsidR="006D2AEE" w:rsidRPr="004201C0" w:rsidRDefault="006D2AEE" w:rsidP="006D2AEE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 xml:space="preserve">History Law Parliament Law Making </w:t>
            </w:r>
          </w:p>
          <w:p w:rsidR="006D2AEE" w:rsidRPr="004201C0" w:rsidRDefault="006D2AEE" w:rsidP="006D2AEE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Delegated Legislation</w:t>
            </w:r>
          </w:p>
          <w:p w:rsidR="006D2AEE" w:rsidRPr="004201C0" w:rsidRDefault="006D2AEE" w:rsidP="006D2AEE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Statutory Interpretation</w:t>
            </w:r>
          </w:p>
          <w:p w:rsidR="006D2AEE" w:rsidRPr="004201C0" w:rsidRDefault="006D2AEE" w:rsidP="006D2AEE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lastRenderedPageBreak/>
              <w:t>Judicial Precedent</w:t>
            </w:r>
          </w:p>
          <w:p w:rsidR="006D2AEE" w:rsidRPr="004201C0" w:rsidRDefault="006D2AEE" w:rsidP="006D2AEE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Law reform</w:t>
            </w:r>
          </w:p>
          <w:p w:rsidR="006D2AEE" w:rsidRPr="004201C0" w:rsidRDefault="006D2AEE" w:rsidP="006D2AEE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Assessment HT1 Green and White Papers</w:t>
            </w:r>
          </w:p>
          <w:p w:rsidR="006D2AEE" w:rsidRPr="004201C0" w:rsidRDefault="006D2AEE" w:rsidP="0009719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Assessment HT 1 Justice</w:t>
            </w:r>
          </w:p>
          <w:p w:rsidR="00A6692D" w:rsidRPr="004201C0" w:rsidRDefault="00A6692D" w:rsidP="00310F6A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2266" w:type="dxa"/>
          </w:tcPr>
          <w:p w:rsidR="00097192" w:rsidRP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lastRenderedPageBreak/>
              <w:t>2</w:t>
            </w:r>
            <w:r w:rsidR="00097192" w:rsidRPr="004201C0">
              <w:rPr>
                <w:noProof/>
                <w:sz w:val="20"/>
                <w:szCs w:val="20"/>
                <w:lang w:eastAsia="en-GB"/>
              </w:rPr>
              <w:t>.1 Tort Law:</w:t>
            </w:r>
          </w:p>
          <w:p w:rsidR="00097192" w:rsidRP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2</w:t>
            </w:r>
            <w:r w:rsidR="00097192" w:rsidRPr="004201C0">
              <w:rPr>
                <w:noProof/>
                <w:sz w:val="20"/>
                <w:szCs w:val="20"/>
                <w:lang w:eastAsia="en-GB"/>
              </w:rPr>
              <w:t>.2 Theory of Tort Law</w:t>
            </w:r>
          </w:p>
          <w:p w:rsidR="00097192" w:rsidRP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2</w:t>
            </w:r>
            <w:r w:rsidR="00097192" w:rsidRPr="004201C0">
              <w:rPr>
                <w:noProof/>
                <w:sz w:val="20"/>
                <w:szCs w:val="20"/>
                <w:lang w:eastAsia="en-GB"/>
              </w:rPr>
              <w:t>.3 Liability</w:t>
            </w:r>
          </w:p>
          <w:p w:rsidR="00097192" w:rsidRP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2</w:t>
            </w:r>
            <w:r w:rsidR="00097192" w:rsidRPr="004201C0">
              <w:rPr>
                <w:noProof/>
                <w:sz w:val="20"/>
                <w:szCs w:val="20"/>
                <w:lang w:eastAsia="en-GB"/>
              </w:rPr>
              <w:t>.3 Model Scenarios</w:t>
            </w:r>
          </w:p>
          <w:p w:rsid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</w:p>
          <w:p w:rsid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3.1 Criminal Law:</w:t>
            </w:r>
          </w:p>
          <w:p w:rsidR="00097192" w:rsidRP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</w:t>
            </w:r>
            <w:r w:rsidR="00097192" w:rsidRPr="004201C0">
              <w:rPr>
                <w:noProof/>
                <w:sz w:val="20"/>
                <w:szCs w:val="20"/>
                <w:lang w:eastAsia="en-GB"/>
              </w:rPr>
              <w:t>.2 Fatal Offences</w:t>
            </w:r>
          </w:p>
          <w:p w:rsidR="00097192" w:rsidRP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</w:t>
            </w:r>
            <w:r w:rsidR="00097192" w:rsidRPr="004201C0">
              <w:rPr>
                <w:noProof/>
                <w:sz w:val="20"/>
                <w:szCs w:val="20"/>
                <w:lang w:eastAsia="en-GB"/>
              </w:rPr>
              <w:t>.3 Involuntary/</w:t>
            </w:r>
            <w:r w:rsidR="002A6CEA">
              <w:rPr>
                <w:noProof/>
                <w:sz w:val="20"/>
                <w:szCs w:val="20"/>
                <w:lang w:eastAsia="en-GB"/>
              </w:rPr>
              <w:t xml:space="preserve"> </w:t>
            </w:r>
            <w:r w:rsidR="00097192" w:rsidRPr="004201C0">
              <w:rPr>
                <w:noProof/>
                <w:sz w:val="20"/>
                <w:szCs w:val="20"/>
                <w:lang w:eastAsia="en-GB"/>
              </w:rPr>
              <w:t>Voluntary Manslughter</w:t>
            </w:r>
          </w:p>
          <w:p w:rsidR="00097192" w:rsidRP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3</w:t>
            </w:r>
            <w:r w:rsidR="00097192" w:rsidRPr="004201C0">
              <w:rPr>
                <w:noProof/>
                <w:sz w:val="20"/>
                <w:szCs w:val="20"/>
                <w:lang w:eastAsia="en-GB"/>
              </w:rPr>
              <w:t>.4 Defences – Loss of Control</w:t>
            </w:r>
          </w:p>
          <w:p w:rsidR="00097192" w:rsidRPr="004201C0" w:rsidRDefault="00097192" w:rsidP="006B6BA2">
            <w:pPr>
              <w:rPr>
                <w:noProof/>
                <w:sz w:val="20"/>
                <w:szCs w:val="20"/>
                <w:lang w:eastAsia="en-GB"/>
              </w:rPr>
            </w:pPr>
          </w:p>
          <w:p w:rsidR="00097192" w:rsidRPr="004201C0" w:rsidRDefault="00097192" w:rsidP="006B6BA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Practice Question Mock:</w:t>
            </w:r>
          </w:p>
          <w:p w:rsidR="004201C0" w:rsidRDefault="00097192" w:rsidP="006B6BA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Legal Theory – Civil and Criminal Law</w:t>
            </w:r>
          </w:p>
          <w:p w:rsidR="004201C0" w:rsidRPr="004201C0" w:rsidRDefault="004201C0" w:rsidP="006B6BA2">
            <w:pPr>
              <w:rPr>
                <w:noProof/>
                <w:sz w:val="20"/>
                <w:szCs w:val="20"/>
                <w:lang w:eastAsia="en-GB"/>
              </w:rPr>
            </w:pPr>
          </w:p>
          <w:p w:rsidR="00097192" w:rsidRPr="004201C0" w:rsidRDefault="00097192" w:rsidP="006B6BA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lastRenderedPageBreak/>
              <w:t>Paper 1 - Criminal Liability,</w:t>
            </w:r>
          </w:p>
          <w:p w:rsidR="00097192" w:rsidRPr="004201C0" w:rsidRDefault="00097192" w:rsidP="006B6BA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Unlawful Acts</w:t>
            </w:r>
          </w:p>
          <w:p w:rsidR="00097192" w:rsidRPr="004201C0" w:rsidRDefault="00097192" w:rsidP="006B6BA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 xml:space="preserve">Paper 2 – Duty of Care, Occupiers’ Liability, Strict Liabiltiy   </w:t>
            </w:r>
          </w:p>
          <w:p w:rsidR="00097192" w:rsidRPr="004201C0" w:rsidRDefault="00097192" w:rsidP="006B6BA2">
            <w:pPr>
              <w:rPr>
                <w:noProof/>
                <w:sz w:val="20"/>
                <w:szCs w:val="20"/>
                <w:lang w:eastAsia="en-GB"/>
              </w:rPr>
            </w:pPr>
          </w:p>
          <w:p w:rsidR="006B6BA2" w:rsidRPr="004201C0" w:rsidRDefault="006B6BA2" w:rsidP="006B6BA2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A6692D" w:rsidRPr="004201C0" w:rsidRDefault="00A6692D" w:rsidP="00566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466963" w:rsidRDefault="00F404D5" w:rsidP="004201C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3</w:t>
            </w:r>
            <w:r w:rsidR="00466963">
              <w:rPr>
                <w:noProof/>
                <w:lang w:eastAsia="en-GB"/>
              </w:rPr>
              <w:t>.5 Involuntary Practice Q</w:t>
            </w:r>
          </w:p>
          <w:p w:rsidR="00466963" w:rsidRDefault="00F404D5" w:rsidP="004201C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</w:t>
            </w:r>
            <w:r w:rsidR="00CB624B">
              <w:rPr>
                <w:noProof/>
                <w:lang w:eastAsia="en-GB"/>
              </w:rPr>
              <w:t xml:space="preserve">.6 Revising Liability </w:t>
            </w:r>
          </w:p>
          <w:p w:rsidR="00CB624B" w:rsidRDefault="00F404D5" w:rsidP="00F404D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1.4</w:t>
            </w:r>
            <w:r w:rsidR="00CB624B">
              <w:rPr>
                <w:noProof/>
                <w:lang w:eastAsia="en-GB"/>
              </w:rPr>
              <w:t xml:space="preserve">Legal Systems and Methods </w:t>
            </w:r>
          </w:p>
          <w:p w:rsidR="00CB624B" w:rsidRDefault="00CB624B" w:rsidP="004201C0">
            <w:pPr>
              <w:rPr>
                <w:noProof/>
                <w:lang w:eastAsia="en-GB"/>
              </w:rPr>
            </w:pPr>
          </w:p>
          <w:p w:rsidR="00CB624B" w:rsidRDefault="00CB624B" w:rsidP="00CB624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1.3.6 Judicial Precedent</w:t>
            </w:r>
          </w:p>
          <w:p w:rsidR="00CB624B" w:rsidRDefault="00CB624B" w:rsidP="00CB624B">
            <w:pPr>
              <w:rPr>
                <w:noProof/>
                <w:lang w:eastAsia="en-GB"/>
              </w:rPr>
            </w:pPr>
          </w:p>
          <w:p w:rsidR="00CB624B" w:rsidRDefault="00CB624B" w:rsidP="00CB624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3.5 Unlawful Acts</w:t>
            </w:r>
          </w:p>
          <w:p w:rsidR="00CB624B" w:rsidRDefault="00CB624B" w:rsidP="00CB624B">
            <w:pPr>
              <w:rPr>
                <w:noProof/>
                <w:lang w:eastAsia="en-GB"/>
              </w:rPr>
            </w:pPr>
          </w:p>
          <w:p w:rsidR="00CB624B" w:rsidRDefault="00CB624B" w:rsidP="00CB624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2.3 Occupiers’ Liability, Strict Liability</w:t>
            </w:r>
          </w:p>
          <w:p w:rsidR="00CB624B" w:rsidRDefault="00CB624B" w:rsidP="00CB624B">
            <w:pPr>
              <w:rPr>
                <w:noProof/>
                <w:lang w:eastAsia="en-GB"/>
              </w:rPr>
            </w:pPr>
          </w:p>
          <w:p w:rsidR="00A6692D" w:rsidRPr="004201C0" w:rsidRDefault="00A6692D" w:rsidP="004201C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B624B" w:rsidRDefault="00F404D5" w:rsidP="00566F1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3.7 Fatal Offences Against the Person</w:t>
            </w:r>
          </w:p>
          <w:p w:rsidR="00F404D5" w:rsidRDefault="00F404D5" w:rsidP="00566F1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3.8 Involuntary Manslaughter Defenses</w:t>
            </w:r>
          </w:p>
          <w:p w:rsidR="00F404D5" w:rsidRDefault="00F404D5" w:rsidP="00566F1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3.9 Loss of Control</w:t>
            </w:r>
          </w:p>
          <w:p w:rsidR="00CB624B" w:rsidRDefault="00CB624B" w:rsidP="00566F1B">
            <w:pPr>
              <w:rPr>
                <w:noProof/>
                <w:lang w:eastAsia="en-GB"/>
              </w:rPr>
            </w:pPr>
          </w:p>
          <w:p w:rsidR="00CB624B" w:rsidRDefault="00CB624B" w:rsidP="00566F1B">
            <w:pPr>
              <w:rPr>
                <w:noProof/>
                <w:lang w:eastAsia="en-GB"/>
              </w:rPr>
            </w:pPr>
          </w:p>
          <w:p w:rsidR="00A6692D" w:rsidRPr="004201C0" w:rsidRDefault="00CB624B" w:rsidP="00566F1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t>Preparing fro 5, 10,15, 20,30 mark questions across Paper 1 + 2 + 3</w:t>
            </w:r>
          </w:p>
        </w:tc>
        <w:tc>
          <w:tcPr>
            <w:tcW w:w="2268" w:type="dxa"/>
          </w:tcPr>
          <w:p w:rsidR="004201C0" w:rsidRDefault="004201C0" w:rsidP="004201C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4.1.</w:t>
            </w:r>
            <w:r w:rsidR="00466963">
              <w:rPr>
                <w:noProof/>
                <w:lang w:eastAsia="en-GB"/>
              </w:rPr>
              <w:t>Introduction to Contract</w:t>
            </w:r>
          </w:p>
          <w:p w:rsidR="00466963" w:rsidRDefault="00466963" w:rsidP="004201C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4.2 Classification of Contracts</w:t>
            </w:r>
          </w:p>
          <w:p w:rsidR="00466963" w:rsidRDefault="00466963" w:rsidP="004201C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4.3 Essentials of a Valid Contract</w:t>
            </w:r>
          </w:p>
          <w:p w:rsidR="00466963" w:rsidRDefault="00466963" w:rsidP="004201C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4.4 Mirepresentation</w:t>
            </w:r>
          </w:p>
          <w:p w:rsidR="00466963" w:rsidRDefault="00466963" w:rsidP="004201C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4.5 Acceptance and Communication </w:t>
            </w:r>
          </w:p>
          <w:p w:rsidR="00466963" w:rsidRDefault="00466963" w:rsidP="004201C0">
            <w:pPr>
              <w:rPr>
                <w:noProof/>
                <w:lang w:eastAsia="en-GB"/>
              </w:rPr>
            </w:pPr>
          </w:p>
          <w:p w:rsidR="00566F1B" w:rsidRPr="004201C0" w:rsidRDefault="00566F1B" w:rsidP="004201C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52" w:type="dxa"/>
            <w:tcBorders>
              <w:right w:val="single" w:sz="18" w:space="0" w:color="000000" w:themeColor="text1"/>
            </w:tcBorders>
          </w:tcPr>
          <w:p w:rsidR="00632FC9" w:rsidRPr="004201C0" w:rsidRDefault="007915E5" w:rsidP="006B6BA2">
            <w:pPr>
              <w:rPr>
                <w:rFonts w:eastAsia="Times New Roman" w:cstheme="minorHAnsi"/>
                <w:sz w:val="20"/>
                <w:szCs w:val="20"/>
              </w:rPr>
            </w:pPr>
            <w:r w:rsidRPr="004201C0">
              <w:rPr>
                <w:rFonts w:eastAsia="Times New Roman" w:cstheme="minorHAnsi"/>
                <w:sz w:val="20"/>
                <w:szCs w:val="20"/>
              </w:rPr>
              <w:t>Exam Question Revision</w:t>
            </w:r>
          </w:p>
          <w:p w:rsidR="007915E5" w:rsidRPr="004201C0" w:rsidRDefault="007915E5" w:rsidP="006B6BA2">
            <w:pPr>
              <w:rPr>
                <w:rFonts w:eastAsia="Times New Roman" w:cstheme="minorHAnsi"/>
                <w:sz w:val="20"/>
                <w:szCs w:val="20"/>
              </w:rPr>
            </w:pPr>
            <w:r w:rsidRPr="004201C0">
              <w:rPr>
                <w:rFonts w:eastAsia="Times New Roman" w:cstheme="minorHAnsi"/>
                <w:sz w:val="20"/>
                <w:szCs w:val="20"/>
              </w:rPr>
              <w:t>Paper 2 Tort:</w:t>
            </w:r>
          </w:p>
          <w:p w:rsidR="007915E5" w:rsidRPr="004201C0" w:rsidRDefault="007915E5" w:rsidP="006B6BA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>2.1 Negligence</w:t>
            </w:r>
          </w:p>
          <w:p w:rsidR="007915E5" w:rsidRPr="004201C0" w:rsidRDefault="007915E5" w:rsidP="006B6BA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 xml:space="preserve">2.2 Mistatement </w:t>
            </w:r>
          </w:p>
          <w:p w:rsidR="007915E5" w:rsidRPr="004201C0" w:rsidRDefault="007915E5" w:rsidP="006B6BA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 xml:space="preserve">2.3 Breach of Duty 2.4 Causation </w:t>
            </w:r>
          </w:p>
          <w:p w:rsidR="007915E5" w:rsidRPr="004201C0" w:rsidRDefault="007915E5" w:rsidP="006B6BA2">
            <w:pPr>
              <w:rPr>
                <w:noProof/>
                <w:sz w:val="20"/>
                <w:szCs w:val="20"/>
                <w:lang w:eastAsia="en-GB"/>
              </w:rPr>
            </w:pPr>
            <w:r w:rsidRPr="004201C0">
              <w:rPr>
                <w:noProof/>
                <w:sz w:val="20"/>
                <w:szCs w:val="20"/>
                <w:lang w:eastAsia="en-GB"/>
              </w:rPr>
              <w:t xml:space="preserve">2.5 Rylands v Fletcher </w:t>
            </w:r>
          </w:p>
          <w:p w:rsidR="007915E5" w:rsidRPr="004201C0" w:rsidRDefault="007915E5" w:rsidP="006B6BA2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7915E5" w:rsidRPr="004201C0" w:rsidRDefault="007915E5" w:rsidP="006B6BA2">
            <w:pPr>
              <w:rPr>
                <w:rFonts w:eastAsia="Times New Roman" w:cstheme="minorHAnsi"/>
                <w:sz w:val="20"/>
                <w:szCs w:val="20"/>
              </w:rPr>
            </w:pPr>
            <w:r w:rsidRPr="004201C0">
              <w:rPr>
                <w:rFonts w:eastAsia="Times New Roman" w:cstheme="minorHAnsi"/>
                <w:sz w:val="20"/>
                <w:szCs w:val="20"/>
              </w:rPr>
              <w:t>Paper 3 Contract:</w:t>
            </w:r>
          </w:p>
          <w:p w:rsidR="007915E5" w:rsidRPr="004201C0" w:rsidRDefault="007915E5" w:rsidP="006B6BA2">
            <w:pPr>
              <w:rPr>
                <w:rFonts w:eastAsia="Times New Roman" w:cstheme="minorHAnsi"/>
                <w:sz w:val="20"/>
                <w:szCs w:val="20"/>
              </w:rPr>
            </w:pPr>
            <w:r w:rsidRPr="004201C0">
              <w:rPr>
                <w:rFonts w:eastAsia="Times New Roman" w:cstheme="minorHAnsi"/>
                <w:sz w:val="20"/>
                <w:szCs w:val="20"/>
              </w:rPr>
              <w:t>3.1 Offer and Acceptance</w:t>
            </w:r>
          </w:p>
          <w:p w:rsidR="007915E5" w:rsidRPr="004201C0" w:rsidRDefault="007915E5" w:rsidP="006B6BA2">
            <w:pPr>
              <w:rPr>
                <w:rFonts w:eastAsia="Times New Roman" w:cstheme="minorHAnsi"/>
                <w:sz w:val="20"/>
                <w:szCs w:val="20"/>
              </w:rPr>
            </w:pPr>
            <w:r w:rsidRPr="004201C0">
              <w:rPr>
                <w:rFonts w:eastAsia="Times New Roman" w:cstheme="minorHAnsi"/>
                <w:sz w:val="20"/>
                <w:szCs w:val="20"/>
              </w:rPr>
              <w:t>3.2 Intention</w:t>
            </w:r>
          </w:p>
          <w:p w:rsidR="007915E5" w:rsidRPr="004201C0" w:rsidRDefault="007915E5" w:rsidP="006B6BA2">
            <w:pPr>
              <w:rPr>
                <w:rFonts w:eastAsia="Times New Roman" w:cstheme="minorHAnsi"/>
                <w:sz w:val="20"/>
                <w:szCs w:val="20"/>
              </w:rPr>
            </w:pPr>
            <w:r w:rsidRPr="004201C0">
              <w:rPr>
                <w:rFonts w:eastAsia="Times New Roman" w:cstheme="minorHAnsi"/>
                <w:sz w:val="20"/>
                <w:szCs w:val="20"/>
              </w:rPr>
              <w:t xml:space="preserve">3.3 Misrepresentation and Breach of Contract </w:t>
            </w:r>
          </w:p>
          <w:p w:rsidR="004201C0" w:rsidRPr="004201C0" w:rsidRDefault="004201C0" w:rsidP="006B6BA2">
            <w:pPr>
              <w:rPr>
                <w:rFonts w:eastAsia="Times New Roman" w:cstheme="minorHAnsi"/>
                <w:sz w:val="20"/>
                <w:szCs w:val="20"/>
              </w:rPr>
            </w:pPr>
            <w:r w:rsidRPr="004201C0">
              <w:rPr>
                <w:rFonts w:eastAsia="Times New Roman" w:cstheme="minorHAnsi"/>
                <w:sz w:val="20"/>
                <w:szCs w:val="20"/>
              </w:rPr>
              <w:t>3.4 Communication</w:t>
            </w:r>
          </w:p>
          <w:p w:rsidR="007915E5" w:rsidRPr="004201C0" w:rsidRDefault="007915E5" w:rsidP="006B6BA2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7915E5" w:rsidRPr="004201C0" w:rsidRDefault="007915E5" w:rsidP="006B6B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04D5" w:rsidRPr="00AA72EE" w:rsidTr="00F404D5">
        <w:tc>
          <w:tcPr>
            <w:tcW w:w="44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A72EE">
              <w:rPr>
                <w:rFonts w:cstheme="minorHAnsi"/>
                <w:sz w:val="18"/>
                <w:szCs w:val="18"/>
              </w:rPr>
              <w:t>Covid</w:t>
            </w:r>
            <w:proofErr w:type="spellEnd"/>
            <w:r w:rsidRPr="00AA72EE">
              <w:rPr>
                <w:rFonts w:cstheme="minorHAnsi"/>
                <w:sz w:val="18"/>
                <w:szCs w:val="18"/>
              </w:rPr>
              <w:t xml:space="preserve"> recovery</w:t>
            </w:r>
          </w:p>
        </w:tc>
        <w:tc>
          <w:tcPr>
            <w:tcW w:w="2089" w:type="dxa"/>
            <w:tcBorders>
              <w:left w:val="single" w:sz="18" w:space="0" w:color="000000" w:themeColor="text1"/>
            </w:tcBorders>
          </w:tcPr>
          <w:p w:rsidR="00A6692D" w:rsidRPr="00C37457" w:rsidRDefault="00D7540D" w:rsidP="00121B7C">
            <w:pPr>
              <w:rPr>
                <w:rFonts w:cstheme="minorHAnsi"/>
                <w:sz w:val="18"/>
                <w:szCs w:val="18"/>
              </w:rPr>
            </w:pPr>
            <w:r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On-going- development of literacy skills and ex</w:t>
            </w:r>
            <w:r w:rsidR="00121B7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am structured</w:t>
            </w:r>
            <w:r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 writing practice</w:t>
            </w:r>
          </w:p>
        </w:tc>
        <w:tc>
          <w:tcPr>
            <w:tcW w:w="2266" w:type="dxa"/>
          </w:tcPr>
          <w:p w:rsidR="00A6692D" w:rsidRPr="00C37457" w:rsidRDefault="00D7540D" w:rsidP="00A6692D">
            <w:pPr>
              <w:rPr>
                <w:rFonts w:cstheme="minorHAnsi"/>
                <w:sz w:val="18"/>
                <w:szCs w:val="18"/>
              </w:rPr>
            </w:pPr>
            <w:r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On-going- development of literacy skills and extended writing practice</w:t>
            </w:r>
          </w:p>
        </w:tc>
        <w:tc>
          <w:tcPr>
            <w:tcW w:w="2262" w:type="dxa"/>
          </w:tcPr>
          <w:p w:rsidR="00A6692D" w:rsidRPr="00C37457" w:rsidRDefault="00D7540D" w:rsidP="00A6692D">
            <w:pPr>
              <w:rPr>
                <w:rFonts w:cstheme="minorHAnsi"/>
                <w:sz w:val="18"/>
                <w:szCs w:val="18"/>
              </w:rPr>
            </w:pPr>
            <w:r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On-going- development of literacy skills and extended writing practice</w:t>
            </w:r>
          </w:p>
        </w:tc>
        <w:tc>
          <w:tcPr>
            <w:tcW w:w="2693" w:type="dxa"/>
          </w:tcPr>
          <w:p w:rsidR="00A6692D" w:rsidRPr="00C37457" w:rsidRDefault="00D7540D" w:rsidP="00A6692D">
            <w:pPr>
              <w:rPr>
                <w:rFonts w:cstheme="minorHAnsi"/>
                <w:sz w:val="18"/>
                <w:szCs w:val="18"/>
              </w:rPr>
            </w:pPr>
            <w:r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On-going- development of literacy skills and extended writing practice</w:t>
            </w:r>
          </w:p>
        </w:tc>
        <w:tc>
          <w:tcPr>
            <w:tcW w:w="2268" w:type="dxa"/>
          </w:tcPr>
          <w:p w:rsidR="00A6692D" w:rsidRPr="00C37457" w:rsidRDefault="00D7540D" w:rsidP="00A6692D">
            <w:pPr>
              <w:rPr>
                <w:rFonts w:cstheme="minorHAnsi"/>
                <w:sz w:val="18"/>
                <w:szCs w:val="18"/>
              </w:rPr>
            </w:pPr>
            <w:r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On-going- development of literacy skills and extended writing practice</w:t>
            </w:r>
          </w:p>
        </w:tc>
        <w:tc>
          <w:tcPr>
            <w:tcW w:w="2352" w:type="dxa"/>
            <w:tcBorders>
              <w:right w:val="single" w:sz="18" w:space="0" w:color="000000" w:themeColor="text1"/>
            </w:tcBorders>
          </w:tcPr>
          <w:p w:rsidR="00A6692D" w:rsidRPr="00C37457" w:rsidRDefault="00D7540D" w:rsidP="00A6692D">
            <w:pPr>
              <w:rPr>
                <w:rFonts w:cstheme="minorHAnsi"/>
                <w:sz w:val="18"/>
                <w:szCs w:val="18"/>
              </w:rPr>
            </w:pPr>
            <w:r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On-going- development of literacy skills and extended writing practice</w:t>
            </w:r>
          </w:p>
        </w:tc>
      </w:tr>
      <w:tr w:rsidR="00F404D5" w:rsidRPr="00AA72EE" w:rsidTr="00F404D5">
        <w:tc>
          <w:tcPr>
            <w:tcW w:w="44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7CAAC" w:themeFill="accent2" w:themeFillTint="66"/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  <w:r w:rsidRPr="00AA72EE">
              <w:rPr>
                <w:rFonts w:cstheme="minorHAnsi"/>
                <w:sz w:val="18"/>
                <w:szCs w:val="18"/>
              </w:rPr>
              <w:t>Careers</w:t>
            </w:r>
          </w:p>
        </w:tc>
        <w:tc>
          <w:tcPr>
            <w:tcW w:w="208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single" w:sz="18" w:space="0" w:color="000000" w:themeColor="text1"/>
            </w:tcBorders>
          </w:tcPr>
          <w:p w:rsidR="00A6692D" w:rsidRPr="00AA72EE" w:rsidRDefault="006E5E69" w:rsidP="00A264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Link to careers in </w:t>
            </w:r>
            <w:r w:rsidR="00A264C5">
              <w:rPr>
                <w:rFonts w:cstheme="minorHAnsi"/>
                <w:sz w:val="18"/>
                <w:szCs w:val="18"/>
              </w:rPr>
              <w:t>Law and the wider application of careers</w:t>
            </w:r>
          </w:p>
        </w:tc>
        <w:tc>
          <w:tcPr>
            <w:tcW w:w="2262" w:type="dxa"/>
            <w:tcBorders>
              <w:bottom w:val="single" w:sz="18" w:space="0" w:color="000000" w:themeColor="text1"/>
            </w:tcBorders>
          </w:tcPr>
          <w:p w:rsidR="00A6692D" w:rsidRPr="00AA72EE" w:rsidRDefault="00A264C5" w:rsidP="00A264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Share blogs of Nott </w:t>
            </w:r>
            <w:proofErr w:type="spellStart"/>
            <w:r>
              <w:rPr>
                <w:rFonts w:cstheme="minorHAnsi"/>
                <w:sz w:val="18"/>
                <w:szCs w:val="18"/>
              </w:rPr>
              <w:t>Uni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Law student</w:t>
            </w:r>
            <w:r w:rsidR="002A6CEA">
              <w:rPr>
                <w:rFonts w:cstheme="minorHAnsi"/>
                <w:sz w:val="18"/>
                <w:szCs w:val="18"/>
              </w:rPr>
              <w:t xml:space="preserve">, YouTuber, Advocate for the Law and </w:t>
            </w:r>
            <w:r>
              <w:rPr>
                <w:rFonts w:cstheme="minorHAnsi"/>
                <w:sz w:val="18"/>
                <w:szCs w:val="18"/>
              </w:rPr>
              <w:t xml:space="preserve"> Barrister Christian Weaver 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Pr="00AA72EE" w:rsidRDefault="00A264C5" w:rsidP="00A669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Trip to Nottingham Law Courts )in conjunction A-Level Language) </w:t>
            </w:r>
            <w:r w:rsidR="002A6CEA">
              <w:rPr>
                <w:rFonts w:cstheme="minorHAnsi"/>
                <w:sz w:val="18"/>
                <w:szCs w:val="18"/>
              </w:rPr>
              <w:t>to study Tier 3 language</w:t>
            </w:r>
          </w:p>
        </w:tc>
      </w:tr>
      <w:tr w:rsidR="002A6CEA" w:rsidRPr="00AA72EE" w:rsidTr="00F404D5">
        <w:tc>
          <w:tcPr>
            <w:tcW w:w="44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  <w:textDirection w:val="btLr"/>
            <w:vAlign w:val="center"/>
          </w:tcPr>
          <w:p w:rsidR="002A6CEA" w:rsidRPr="00AA72EE" w:rsidRDefault="002A6CEA" w:rsidP="002A6CEA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AA72EE">
              <w:rPr>
                <w:rFonts w:cstheme="minorHAnsi"/>
                <w:sz w:val="18"/>
                <w:szCs w:val="18"/>
              </w:rPr>
              <w:t>Year 13</w:t>
            </w:r>
          </w:p>
        </w:tc>
        <w:tc>
          <w:tcPr>
            <w:tcW w:w="101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A6CEA" w:rsidRPr="00AA72EE" w:rsidRDefault="002A6CEA" w:rsidP="002A6CEA">
            <w:pPr>
              <w:rPr>
                <w:rFonts w:cstheme="minorHAnsi"/>
                <w:sz w:val="18"/>
                <w:szCs w:val="18"/>
              </w:rPr>
            </w:pPr>
            <w:r w:rsidRPr="00AA72EE">
              <w:rPr>
                <w:rFonts w:cstheme="minorHAnsi"/>
                <w:sz w:val="18"/>
                <w:szCs w:val="18"/>
              </w:rPr>
              <w:t>Title and objectives</w:t>
            </w:r>
          </w:p>
        </w:tc>
        <w:tc>
          <w:tcPr>
            <w:tcW w:w="2089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2A6CEA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Criminal Law</w:t>
            </w:r>
            <w:r w:rsidR="005C3573">
              <w:rPr>
                <w:rFonts w:eastAsia="Times New Roman" w:cstheme="minorHAnsi"/>
                <w:b/>
                <w:sz w:val="18"/>
                <w:szCs w:val="18"/>
              </w:rPr>
              <w:t xml:space="preserve"> Paper 1</w:t>
            </w:r>
          </w:p>
          <w:p w:rsidR="001023BF" w:rsidRDefault="001023BF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2A6CEA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2A6CEA" w:rsidRPr="00121B7C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2A6CEA" w:rsidRPr="00121B7C" w:rsidRDefault="002A6CEA" w:rsidP="002A6C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18" w:space="0" w:color="000000" w:themeColor="text1"/>
            </w:tcBorders>
          </w:tcPr>
          <w:p w:rsidR="002A6CEA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Tort Law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Paper 2</w:t>
            </w:r>
          </w:p>
          <w:p w:rsidR="001023BF" w:rsidRDefault="001023BF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2A6CEA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Criminal Law</w:t>
            </w:r>
            <w:r w:rsidR="001023BF">
              <w:rPr>
                <w:rFonts w:eastAsia="Times New Roman" w:cstheme="minorHAnsi"/>
                <w:b/>
                <w:sz w:val="18"/>
                <w:szCs w:val="18"/>
              </w:rPr>
              <w:t xml:space="preserve"> Paper 1</w:t>
            </w:r>
          </w:p>
          <w:p w:rsidR="001023BF" w:rsidRDefault="001023BF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2A6CEA" w:rsidRDefault="002A6CEA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5C3573" w:rsidRPr="00121B7C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18" w:space="0" w:color="000000" w:themeColor="text1"/>
            </w:tcBorders>
          </w:tcPr>
          <w:p w:rsidR="002A6CEA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Tort Law</w:t>
            </w:r>
            <w:r w:rsidR="001023BF">
              <w:rPr>
                <w:rFonts w:eastAsia="Times New Roman" w:cstheme="minorHAnsi"/>
                <w:b/>
                <w:sz w:val="18"/>
                <w:szCs w:val="18"/>
              </w:rPr>
              <w:t xml:space="preserve"> Paper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2</w:t>
            </w:r>
          </w:p>
          <w:p w:rsidR="001023BF" w:rsidRDefault="001023BF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2A6CEA" w:rsidRPr="00121B7C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2A6CEA" w:rsidRPr="00121B7C" w:rsidRDefault="002A6CEA" w:rsidP="002A6C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2A6CEA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C</w:t>
            </w:r>
            <w:r w:rsidR="001023BF">
              <w:rPr>
                <w:rFonts w:eastAsia="Times New Roman" w:cstheme="minorHAnsi"/>
                <w:b/>
                <w:sz w:val="18"/>
                <w:szCs w:val="18"/>
              </w:rPr>
              <w:t>ontract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Law</w:t>
            </w:r>
            <w:r w:rsidR="001023BF">
              <w:rPr>
                <w:rFonts w:eastAsia="Times New Roman" w:cstheme="minorHAnsi"/>
                <w:b/>
                <w:sz w:val="18"/>
                <w:szCs w:val="18"/>
              </w:rPr>
              <w:t xml:space="preserve"> Paper 3</w:t>
            </w:r>
          </w:p>
          <w:p w:rsidR="002A6CEA" w:rsidRPr="00121B7C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2A6CEA" w:rsidRPr="00121B7C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2A6CEA" w:rsidRPr="00121B7C" w:rsidRDefault="002A6CEA" w:rsidP="002A6C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2A6CEA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Contract Law</w:t>
            </w:r>
            <w:r w:rsidR="001023BF">
              <w:rPr>
                <w:rFonts w:eastAsia="Times New Roman" w:cstheme="minorHAnsi"/>
                <w:b/>
                <w:sz w:val="18"/>
                <w:szCs w:val="18"/>
              </w:rPr>
              <w:t xml:space="preserve"> Paper 3 </w:t>
            </w:r>
          </w:p>
          <w:p w:rsidR="002A6CEA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2A6CEA" w:rsidRDefault="002A6CEA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:</w:t>
            </w:r>
          </w:p>
          <w:p w:rsidR="002A6CEA" w:rsidRPr="00121B7C" w:rsidRDefault="002A6CEA" w:rsidP="005C35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2A6CEA" w:rsidRDefault="002A6CEA" w:rsidP="002A6CEA">
            <w:pPr>
              <w:rPr>
                <w:rFonts w:cstheme="minorHAnsi"/>
                <w:b/>
                <w:sz w:val="18"/>
                <w:szCs w:val="18"/>
              </w:rPr>
            </w:pPr>
            <w:r w:rsidRPr="00C37457">
              <w:rPr>
                <w:rFonts w:cstheme="minorHAnsi"/>
                <w:b/>
                <w:sz w:val="18"/>
                <w:szCs w:val="18"/>
              </w:rPr>
              <w:t>Revision</w:t>
            </w:r>
          </w:p>
          <w:p w:rsidR="001023BF" w:rsidRDefault="001023BF" w:rsidP="002A6CEA">
            <w:pPr>
              <w:rPr>
                <w:rFonts w:eastAsia="Times New Roman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2A6CEA" w:rsidRPr="00C37457" w:rsidRDefault="002A6CEA" w:rsidP="002A6CE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C3573" w:rsidRPr="00AA72EE" w:rsidTr="00F404D5">
        <w:tc>
          <w:tcPr>
            <w:tcW w:w="44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5C3573" w:rsidRPr="00AA72EE" w:rsidRDefault="005C3573" w:rsidP="005C35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5C3573" w:rsidRPr="00AA72EE" w:rsidRDefault="005C3573" w:rsidP="005C3573">
            <w:pPr>
              <w:rPr>
                <w:rFonts w:cstheme="minorHAnsi"/>
                <w:sz w:val="18"/>
                <w:szCs w:val="18"/>
              </w:rPr>
            </w:pPr>
            <w:r w:rsidRPr="00AA72EE">
              <w:rPr>
                <w:rFonts w:cstheme="minorHAnsi"/>
                <w:sz w:val="18"/>
                <w:szCs w:val="18"/>
              </w:rPr>
              <w:t>Core knowledge</w:t>
            </w:r>
          </w:p>
        </w:tc>
        <w:tc>
          <w:tcPr>
            <w:tcW w:w="2089" w:type="dxa"/>
            <w:tcBorders>
              <w:left w:val="single" w:sz="18" w:space="0" w:color="000000" w:themeColor="text1"/>
            </w:tcBorders>
          </w:tcPr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Criminal Law Paper 1: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Property Offences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Theft, Robbery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Preliminary Offences</w:t>
            </w:r>
            <w:r>
              <w:rPr>
                <w:rFonts w:eastAsia="Times New Roman" w:cstheme="minorHAnsi"/>
                <w:sz w:val="18"/>
                <w:szCs w:val="18"/>
              </w:rPr>
              <w:t>: attempt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Defences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Capacity, Insanity, Automatism, Intoxication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(Necessity Defences – self-defence, duress)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 xml:space="preserve">Human Rights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– rules, theory, International Law, ECHR 1953 and HRA 1998, enforcement and English Law </w:t>
            </w:r>
          </w:p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2A6CEA">
              <w:rPr>
                <w:rFonts w:eastAsia="Times New Roman" w:cstheme="minorHAnsi"/>
                <w:sz w:val="18"/>
                <w:szCs w:val="18"/>
              </w:rPr>
              <w:t>Nature of the Law: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Law and Society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Law and Morality</w:t>
            </w:r>
          </w:p>
          <w:p w:rsidR="005C3573" w:rsidRPr="002A6CEA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Law and Justice </w:t>
            </w:r>
          </w:p>
          <w:p w:rsidR="005C3573" w:rsidRPr="00121B7C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C3573" w:rsidRPr="00121B7C" w:rsidRDefault="005C3573" w:rsidP="005C35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Tort Law Paper 2: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Nuisance and the escape of Dangerous things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Public / Private,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Rylands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v Fletcher, Interference, 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Vicarious Liability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  <w:r w:rsidRPr="001023BF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Nature and purpose of VL, testing employment status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Defences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– contributory negligence, consent, specific defences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Remedies – compensatory damages, mitigation of loss, injunctions </w:t>
            </w:r>
          </w:p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Criminal Law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Paper 1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Revision of content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 xml:space="preserve">Assignments </w:t>
            </w:r>
          </w:p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5C3573" w:rsidRPr="002A6CEA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2A6CEA">
              <w:rPr>
                <w:rFonts w:eastAsia="Times New Roman" w:cstheme="minorHAnsi"/>
                <w:sz w:val="18"/>
                <w:szCs w:val="18"/>
              </w:rPr>
              <w:t xml:space="preserve">The Rule of Law </w:t>
            </w:r>
          </w:p>
          <w:p w:rsidR="005C3573" w:rsidRPr="00121B7C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2262" w:type="dxa"/>
          </w:tcPr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Tort Law Paper 2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Revision of content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Assignments</w:t>
            </w:r>
          </w:p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C3573" w:rsidRPr="00121B7C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5C3573" w:rsidRDefault="005C3573" w:rsidP="005C35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Law making:</w:t>
            </w:r>
          </w:p>
          <w:p w:rsidR="005C3573" w:rsidRPr="00121B7C" w:rsidRDefault="005C3573" w:rsidP="005C35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Parliamentary, Delegated, Statutory, Judicial Precedent, law Reform, EU</w:t>
            </w:r>
          </w:p>
        </w:tc>
        <w:tc>
          <w:tcPr>
            <w:tcW w:w="2693" w:type="dxa"/>
          </w:tcPr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Contract Law Paper 3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Discharge of a contract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Performance, Breach, Frustration, Acceptance, Divisible / Entire contracts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Remedies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Compensatory damages, causation, equitable remedies, termination of contract </w:t>
            </w:r>
          </w:p>
          <w:p w:rsidR="005C3573" w:rsidRPr="00121B7C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C3573" w:rsidRPr="00121B7C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5C3573" w:rsidRPr="00121B7C" w:rsidRDefault="005C3573" w:rsidP="005C35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Court structure, Legal Personnel, Access to Justice </w:t>
            </w:r>
          </w:p>
        </w:tc>
        <w:tc>
          <w:tcPr>
            <w:tcW w:w="2268" w:type="dxa"/>
          </w:tcPr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Contract Law Paper 3 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Revision of content</w:t>
            </w:r>
          </w:p>
          <w:p w:rsidR="005C3573" w:rsidRPr="001023BF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 w:rsidRPr="001023BF">
              <w:rPr>
                <w:rFonts w:eastAsia="Times New Roman" w:cstheme="minorHAnsi"/>
                <w:sz w:val="18"/>
                <w:szCs w:val="18"/>
              </w:rPr>
              <w:t>Assignments</w:t>
            </w:r>
          </w:p>
          <w:p w:rsidR="005C3573" w:rsidRPr="00121B7C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:</w:t>
            </w:r>
          </w:p>
          <w:p w:rsidR="005C3573" w:rsidRPr="002A6CEA" w:rsidRDefault="005C3573" w:rsidP="005C3573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Judicial Controls, Hierarchy of Courts revision, ADR revision </w:t>
            </w:r>
          </w:p>
          <w:p w:rsidR="005C3573" w:rsidRPr="00121B7C" w:rsidRDefault="005C3573" w:rsidP="005C35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2" w:type="dxa"/>
            <w:tcBorders>
              <w:right w:val="single" w:sz="18" w:space="0" w:color="000000" w:themeColor="text1"/>
            </w:tcBorders>
          </w:tcPr>
          <w:p w:rsidR="005C3573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A-Level Exams: </w:t>
            </w:r>
          </w:p>
          <w:p w:rsidR="005C3573" w:rsidRPr="00121B7C" w:rsidRDefault="005C3573" w:rsidP="005C3573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21B7C">
              <w:rPr>
                <w:rFonts w:eastAsia="Times New Roman" w:cstheme="minorHAnsi"/>
                <w:b/>
                <w:sz w:val="18"/>
                <w:szCs w:val="18"/>
              </w:rPr>
              <w:t>The Legal System and Methods</w:t>
            </w:r>
          </w:p>
          <w:p w:rsidR="005C3573" w:rsidRDefault="005C3573" w:rsidP="005C3573">
            <w:pPr>
              <w:rPr>
                <w:rFonts w:cstheme="minorHAnsi"/>
                <w:b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Criminal Law Paper 1</w:t>
            </w:r>
          </w:p>
          <w:p w:rsidR="005C3573" w:rsidRDefault="005C3573" w:rsidP="005C3573">
            <w:pPr>
              <w:rPr>
                <w:rFonts w:cstheme="minorHAnsi"/>
                <w:b/>
                <w:sz w:val="18"/>
                <w:szCs w:val="18"/>
              </w:rPr>
            </w:pPr>
          </w:p>
          <w:p w:rsidR="005C3573" w:rsidRDefault="005C3573" w:rsidP="005C357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Tort Law Paper 2</w:t>
            </w:r>
          </w:p>
          <w:p w:rsidR="005C3573" w:rsidRDefault="005C3573" w:rsidP="005C3573">
            <w:pPr>
              <w:rPr>
                <w:rFonts w:cstheme="minorHAnsi"/>
                <w:b/>
                <w:sz w:val="18"/>
                <w:szCs w:val="18"/>
              </w:rPr>
            </w:pPr>
          </w:p>
          <w:p w:rsidR="005C3573" w:rsidRPr="00C37457" w:rsidRDefault="005C3573" w:rsidP="005C357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Contract Law Paper 3</w:t>
            </w:r>
          </w:p>
        </w:tc>
      </w:tr>
      <w:tr w:rsidR="00F404D5" w:rsidRPr="00AA72EE" w:rsidTr="00F404D5">
        <w:trPr>
          <w:trHeight w:val="449"/>
        </w:trPr>
        <w:tc>
          <w:tcPr>
            <w:tcW w:w="44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711D97" w:rsidRPr="00AA72EE" w:rsidRDefault="00711D97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11D97" w:rsidRPr="00AA72EE" w:rsidRDefault="00711D97" w:rsidP="00A6692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A72EE">
              <w:rPr>
                <w:rFonts w:cstheme="minorHAnsi"/>
                <w:sz w:val="18"/>
                <w:szCs w:val="18"/>
              </w:rPr>
              <w:t>Covid</w:t>
            </w:r>
            <w:proofErr w:type="spellEnd"/>
            <w:r w:rsidRPr="00AA72EE">
              <w:rPr>
                <w:rFonts w:cstheme="minorHAnsi"/>
                <w:sz w:val="18"/>
                <w:szCs w:val="18"/>
              </w:rPr>
              <w:t xml:space="preserve"> recovery</w:t>
            </w:r>
          </w:p>
        </w:tc>
        <w:tc>
          <w:tcPr>
            <w:tcW w:w="2089" w:type="dxa"/>
            <w:tcBorders>
              <w:left w:val="single" w:sz="18" w:space="0" w:color="000000" w:themeColor="text1"/>
            </w:tcBorders>
          </w:tcPr>
          <w:p w:rsidR="00711D97" w:rsidRPr="00C37457" w:rsidRDefault="00D7540D" w:rsidP="00121B7C">
            <w:pPr>
              <w:rPr>
                <w:rFonts w:cstheme="minorHAnsi"/>
                <w:sz w:val="18"/>
                <w:szCs w:val="18"/>
              </w:rPr>
            </w:pPr>
            <w:r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On-going- development of literacy skills and </w:t>
            </w:r>
            <w:r w:rsidR="00121B7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exam structured </w:t>
            </w:r>
            <w:r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 writing practice</w:t>
            </w:r>
          </w:p>
        </w:tc>
        <w:tc>
          <w:tcPr>
            <w:tcW w:w="2266" w:type="dxa"/>
          </w:tcPr>
          <w:p w:rsidR="00711D97" w:rsidRPr="00C37457" w:rsidRDefault="00121B7C" w:rsidP="00121B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On-going</w:t>
            </w:r>
            <w:r w:rsidR="00D7540D"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embedding</w:t>
            </w:r>
            <w:r w:rsidR="00D7540D"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 of literacy skills and extended writing practice</w:t>
            </w:r>
          </w:p>
        </w:tc>
        <w:tc>
          <w:tcPr>
            <w:tcW w:w="2262" w:type="dxa"/>
          </w:tcPr>
          <w:p w:rsidR="00711D97" w:rsidRPr="00C37457" w:rsidRDefault="00121B7C" w:rsidP="00121B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On-going embedding </w:t>
            </w:r>
            <w:r w:rsidR="00D7540D"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of literacy skills and extended writing practice</w:t>
            </w:r>
          </w:p>
        </w:tc>
        <w:tc>
          <w:tcPr>
            <w:tcW w:w="2693" w:type="dxa"/>
          </w:tcPr>
          <w:p w:rsidR="00711D97" w:rsidRPr="00C37457" w:rsidRDefault="00121B7C" w:rsidP="00121B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On-going embedding</w:t>
            </w:r>
            <w:r w:rsidR="00D7540D"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 of literacy skills and extended writing practice</w:t>
            </w:r>
          </w:p>
        </w:tc>
        <w:tc>
          <w:tcPr>
            <w:tcW w:w="2268" w:type="dxa"/>
          </w:tcPr>
          <w:p w:rsidR="00711D97" w:rsidRPr="00C37457" w:rsidRDefault="00121B7C" w:rsidP="00121B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On-going </w:t>
            </w:r>
            <w:r w:rsidR="00D7540D"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embedding</w:t>
            </w:r>
            <w:r w:rsidR="00D7540D"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 of literacy skills and extended writing practice</w:t>
            </w:r>
          </w:p>
        </w:tc>
        <w:tc>
          <w:tcPr>
            <w:tcW w:w="2352" w:type="dxa"/>
            <w:tcBorders>
              <w:right w:val="single" w:sz="18" w:space="0" w:color="000000" w:themeColor="text1"/>
            </w:tcBorders>
          </w:tcPr>
          <w:p w:rsidR="00711D97" w:rsidRPr="00C37457" w:rsidRDefault="00121B7C" w:rsidP="00121B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On-going embedding</w:t>
            </w:r>
            <w:r w:rsidR="00D7540D" w:rsidRPr="00C37457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 of literacy skills and extended writing practice</w:t>
            </w:r>
            <w:r w:rsidR="002A6CEA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 for exams</w:t>
            </w:r>
          </w:p>
        </w:tc>
      </w:tr>
      <w:tr w:rsidR="00F404D5" w:rsidRPr="00AA72EE" w:rsidTr="00F404D5">
        <w:tc>
          <w:tcPr>
            <w:tcW w:w="44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4B083" w:themeFill="accent2" w:themeFillTint="99"/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6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  <w:r w:rsidRPr="00AA72EE">
              <w:rPr>
                <w:rFonts w:cstheme="minorHAnsi"/>
                <w:sz w:val="18"/>
                <w:szCs w:val="18"/>
              </w:rPr>
              <w:t>Careers</w:t>
            </w:r>
          </w:p>
        </w:tc>
        <w:tc>
          <w:tcPr>
            <w:tcW w:w="208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6692D" w:rsidRPr="00AA72EE" w:rsidRDefault="00D622FC" w:rsidP="00A264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Link to roles </w:t>
            </w:r>
            <w:r w:rsidR="00A264C5">
              <w:rPr>
                <w:rFonts w:cstheme="minorHAnsi"/>
                <w:sz w:val="18"/>
                <w:szCs w:val="18"/>
              </w:rPr>
              <w:t>in Law</w:t>
            </w:r>
            <w:r>
              <w:rPr>
                <w:rFonts w:cstheme="minorHAnsi"/>
                <w:sz w:val="18"/>
                <w:szCs w:val="18"/>
              </w:rPr>
              <w:t xml:space="preserve"> and </w:t>
            </w:r>
            <w:r w:rsidR="00A264C5">
              <w:rPr>
                <w:rFonts w:cstheme="minorHAnsi"/>
                <w:sz w:val="18"/>
                <w:szCs w:val="18"/>
              </w:rPr>
              <w:t>the differing (Higher) Education routes</w:t>
            </w:r>
          </w:p>
        </w:tc>
        <w:tc>
          <w:tcPr>
            <w:tcW w:w="2266" w:type="dxa"/>
            <w:tcBorders>
              <w:bottom w:val="single" w:sz="18" w:space="0" w:color="000000" w:themeColor="text1"/>
            </w:tcBorders>
          </w:tcPr>
          <w:p w:rsidR="00A6692D" w:rsidRPr="00AA72EE" w:rsidRDefault="00A264C5" w:rsidP="00A669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Transferable Skills in Communication and Debate, links to accessing a range of careers</w:t>
            </w:r>
          </w:p>
        </w:tc>
        <w:tc>
          <w:tcPr>
            <w:tcW w:w="2262" w:type="dxa"/>
            <w:tcBorders>
              <w:bottom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6692D" w:rsidRPr="00AA72EE" w:rsidRDefault="00A6692D" w:rsidP="00A6692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13B1B" w:rsidRPr="00AA72EE" w:rsidRDefault="00413B1B">
      <w:pPr>
        <w:rPr>
          <w:rFonts w:cstheme="minorHAnsi"/>
        </w:rPr>
      </w:pPr>
    </w:p>
    <w:sectPr w:rsidR="00413B1B" w:rsidRPr="00AA72EE" w:rsidSect="001C4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297"/>
    <w:multiLevelType w:val="hybridMultilevel"/>
    <w:tmpl w:val="DD82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5D4"/>
    <w:multiLevelType w:val="hybridMultilevel"/>
    <w:tmpl w:val="653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377"/>
    <w:multiLevelType w:val="hybridMultilevel"/>
    <w:tmpl w:val="CBE0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B8E"/>
    <w:multiLevelType w:val="multilevel"/>
    <w:tmpl w:val="9A38C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F57C5"/>
    <w:multiLevelType w:val="hybridMultilevel"/>
    <w:tmpl w:val="C38E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62C2"/>
    <w:multiLevelType w:val="hybridMultilevel"/>
    <w:tmpl w:val="FC002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9012F"/>
    <w:multiLevelType w:val="hybridMultilevel"/>
    <w:tmpl w:val="533A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91D0B"/>
    <w:multiLevelType w:val="hybridMultilevel"/>
    <w:tmpl w:val="B95A2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687C92"/>
    <w:multiLevelType w:val="hybridMultilevel"/>
    <w:tmpl w:val="08B8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667C5"/>
    <w:multiLevelType w:val="hybridMultilevel"/>
    <w:tmpl w:val="8892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22487"/>
    <w:multiLevelType w:val="multilevel"/>
    <w:tmpl w:val="12BAC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6A7422D"/>
    <w:multiLevelType w:val="hybridMultilevel"/>
    <w:tmpl w:val="14CACB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37BA6"/>
    <w:multiLevelType w:val="hybridMultilevel"/>
    <w:tmpl w:val="EB247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A4C0B"/>
    <w:multiLevelType w:val="multilevel"/>
    <w:tmpl w:val="25ACA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9A"/>
    <w:rsid w:val="00097192"/>
    <w:rsid w:val="001023BF"/>
    <w:rsid w:val="00121B7C"/>
    <w:rsid w:val="001354A7"/>
    <w:rsid w:val="00164CB5"/>
    <w:rsid w:val="001863FD"/>
    <w:rsid w:val="001C499A"/>
    <w:rsid w:val="001C73FC"/>
    <w:rsid w:val="002127FF"/>
    <w:rsid w:val="00236EC1"/>
    <w:rsid w:val="002A6CEA"/>
    <w:rsid w:val="002E3E8C"/>
    <w:rsid w:val="00310F6A"/>
    <w:rsid w:val="00382E48"/>
    <w:rsid w:val="003E5D3F"/>
    <w:rsid w:val="003F0B20"/>
    <w:rsid w:val="00413B1B"/>
    <w:rsid w:val="004201C0"/>
    <w:rsid w:val="00466963"/>
    <w:rsid w:val="004E1287"/>
    <w:rsid w:val="004F117C"/>
    <w:rsid w:val="005246A9"/>
    <w:rsid w:val="005520F6"/>
    <w:rsid w:val="00566F1B"/>
    <w:rsid w:val="005A3645"/>
    <w:rsid w:val="005C3573"/>
    <w:rsid w:val="00632FC9"/>
    <w:rsid w:val="00640649"/>
    <w:rsid w:val="00690883"/>
    <w:rsid w:val="006B6BA2"/>
    <w:rsid w:val="006D2AEE"/>
    <w:rsid w:val="006E5E69"/>
    <w:rsid w:val="006E7316"/>
    <w:rsid w:val="00711D97"/>
    <w:rsid w:val="00781B19"/>
    <w:rsid w:val="00787059"/>
    <w:rsid w:val="007915E5"/>
    <w:rsid w:val="008F6BD9"/>
    <w:rsid w:val="008F70D4"/>
    <w:rsid w:val="00913BB0"/>
    <w:rsid w:val="0097563C"/>
    <w:rsid w:val="009E3F94"/>
    <w:rsid w:val="00A264C5"/>
    <w:rsid w:val="00A4069C"/>
    <w:rsid w:val="00A45046"/>
    <w:rsid w:val="00A6692D"/>
    <w:rsid w:val="00A93029"/>
    <w:rsid w:val="00AA72EE"/>
    <w:rsid w:val="00C2408D"/>
    <w:rsid w:val="00C37457"/>
    <w:rsid w:val="00C44EB6"/>
    <w:rsid w:val="00C97820"/>
    <w:rsid w:val="00CB624B"/>
    <w:rsid w:val="00CD6CBF"/>
    <w:rsid w:val="00CF153D"/>
    <w:rsid w:val="00D622FC"/>
    <w:rsid w:val="00D7540D"/>
    <w:rsid w:val="00DC137F"/>
    <w:rsid w:val="00E415B8"/>
    <w:rsid w:val="00F23927"/>
    <w:rsid w:val="00F4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05CF"/>
  <w15:chartTrackingRefBased/>
  <w15:docId w15:val="{1F4EA1CA-2CD2-4254-9ADF-951E2A5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99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127FF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J</dc:creator>
  <cp:keywords/>
  <dc:description/>
  <cp:lastModifiedBy>Ms D Tildsley - NES Staff</cp:lastModifiedBy>
  <cp:revision>4</cp:revision>
  <dcterms:created xsi:type="dcterms:W3CDTF">2022-06-30T10:04:00Z</dcterms:created>
  <dcterms:modified xsi:type="dcterms:W3CDTF">2022-07-20T05:02:00Z</dcterms:modified>
</cp:coreProperties>
</file>